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F9CF6">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880" w:firstLineChars="200"/>
        <w:jc w:val="left"/>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p>
    <w:p w14:paraId="65F9813E">
      <w:pPr>
        <w:keepNext w:val="0"/>
        <w:keepLines w:val="0"/>
        <w:pageBreakBefore w:val="0"/>
        <w:widowControl w:val="0"/>
        <w:kinsoku/>
        <w:wordWrap/>
        <w:overflowPunct/>
        <w:topLinePunct w:val="0"/>
        <w:autoSpaceDE/>
        <w:autoSpaceDN/>
        <w:adjustRightInd/>
        <w:snapToGrid/>
        <w:spacing w:line="560" w:lineRule="exact"/>
        <w:jc w:val="center"/>
        <w:outlineLvl w:val="0"/>
        <w:rPr>
          <w:rFonts w:hint="eastAsia" w:ascii="方正小标宋简体" w:hAnsi="方正小标宋简体" w:eastAsia="方正小标宋简体" w:cs="方正小标宋简体"/>
          <w:b w:val="0"/>
          <w:bCs w:val="0"/>
          <w:color w:val="auto"/>
          <w:kern w:val="2"/>
          <w:sz w:val="44"/>
          <w:szCs w:val="44"/>
          <w:lang w:val="en-US" w:eastAsia="zh"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市财政局</w:t>
      </w:r>
      <w:r>
        <w:rPr>
          <w:rFonts w:ascii="方正小标宋简体" w:hAnsi="方正小标宋简体" w:eastAsia="方正小标宋简体" w:cs="方正小标宋简体"/>
          <w:b w:val="0"/>
          <w:bCs w:val="0"/>
          <w:color w:val="auto"/>
          <w:kern w:val="2"/>
          <w:sz w:val="44"/>
          <w:szCs w:val="44"/>
          <w:lang w:val="en-US" w:eastAsia="zh-CN" w:bidi="ar-SA"/>
        </w:rPr>
        <w:t>关于</w:t>
      </w:r>
      <w:r>
        <w:rPr>
          <w:rFonts w:hint="eastAsia" w:ascii="方正小标宋简体" w:hAnsi="方正小标宋简体" w:eastAsia="方正小标宋简体" w:cs="方正小标宋简体"/>
          <w:b w:val="0"/>
          <w:bCs w:val="0"/>
          <w:color w:val="auto"/>
          <w:kern w:val="2"/>
          <w:sz w:val="44"/>
          <w:szCs w:val="44"/>
          <w:lang w:val="en-US" w:eastAsia="zh-CN" w:bidi="ar-SA"/>
        </w:rPr>
        <w:t>开展</w:t>
      </w:r>
      <w:r>
        <w:rPr>
          <w:rFonts w:ascii="方正小标宋简体" w:hAnsi="方正小标宋简体" w:eastAsia="方正小标宋简体" w:cs="方正小标宋简体"/>
          <w:b w:val="0"/>
          <w:bCs w:val="0"/>
          <w:color w:val="auto"/>
          <w:kern w:val="2"/>
          <w:sz w:val="44"/>
          <w:szCs w:val="44"/>
          <w:lang w:val="en-US" w:eastAsia="zh-CN" w:bidi="ar-SA"/>
        </w:rPr>
        <w:t>推动解决政府采购</w:t>
      </w:r>
      <w:r>
        <w:rPr>
          <w:rFonts w:hint="eastAsia" w:ascii="方正小标宋简体" w:hAnsi="方正小标宋简体" w:eastAsia="方正小标宋简体" w:cs="方正小标宋简体"/>
          <w:b w:val="0"/>
          <w:bCs w:val="0"/>
          <w:color w:val="auto"/>
          <w:kern w:val="2"/>
          <w:sz w:val="44"/>
          <w:szCs w:val="44"/>
          <w:lang w:val="en-US" w:eastAsia="zh-CN" w:bidi="ar-SA"/>
        </w:rPr>
        <w:t>异常低价</w:t>
      </w:r>
      <w:r>
        <w:rPr>
          <w:rFonts w:ascii="方正小标宋简体" w:hAnsi="方正小标宋简体" w:eastAsia="方正小标宋简体" w:cs="方正小标宋简体"/>
          <w:b w:val="0"/>
          <w:bCs w:val="0"/>
          <w:color w:val="auto"/>
          <w:kern w:val="2"/>
          <w:sz w:val="44"/>
          <w:szCs w:val="44"/>
          <w:lang w:val="en-US" w:eastAsia="zh-CN" w:bidi="ar-SA"/>
        </w:rPr>
        <w:t>问题试点</w:t>
      </w:r>
      <w:r>
        <w:rPr>
          <w:rFonts w:hint="eastAsia" w:ascii="方正小标宋简体" w:hAnsi="方正小标宋简体" w:eastAsia="方正小标宋简体" w:cs="方正小标宋简体"/>
          <w:b w:val="0"/>
          <w:bCs w:val="0"/>
          <w:color w:val="auto"/>
          <w:kern w:val="2"/>
          <w:sz w:val="44"/>
          <w:szCs w:val="44"/>
          <w:lang w:val="en-US" w:eastAsia="zh-CN" w:bidi="ar-SA"/>
        </w:rPr>
        <w:t>工作的通知</w:t>
      </w:r>
      <w:r>
        <w:rPr>
          <w:rFonts w:hint="eastAsia" w:ascii="方正小标宋简体" w:hAnsi="方正小标宋简体" w:eastAsia="方正小标宋简体" w:cs="方正小标宋简体"/>
          <w:b w:val="0"/>
          <w:bCs w:val="0"/>
          <w:color w:val="auto"/>
          <w:kern w:val="2"/>
          <w:sz w:val="44"/>
          <w:szCs w:val="44"/>
          <w:lang w:val="en-US" w:eastAsia="zh" w:bidi="ar-SA"/>
        </w:rPr>
        <w:t>（征求意见稿）</w:t>
      </w:r>
    </w:p>
    <w:p w14:paraId="4CDC444A">
      <w:pPr>
        <w:jc w:val="left"/>
        <w:rPr>
          <w:rFonts w:hint="eastAsia" w:ascii="CESI仿宋-GB2312" w:hAnsi="CESI仿宋-GB2312" w:eastAsia="CESI仿宋-GB2312" w:cs="CESI仿宋-GB2312"/>
          <w:color w:val="auto"/>
          <w:sz w:val="32"/>
          <w:szCs w:val="32"/>
          <w:lang w:val="en-US" w:eastAsia="zh"/>
        </w:rPr>
      </w:pPr>
    </w:p>
    <w:p w14:paraId="00B3831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市直各</w:t>
      </w:r>
      <w:r>
        <w:rPr>
          <w:rFonts w:ascii="CESI仿宋-GB2312" w:hAnsi="CESI仿宋-GB2312" w:eastAsia="CESI仿宋-GB2312" w:cs="CESI仿宋-GB2312"/>
          <w:color w:val="auto"/>
          <w:sz w:val="32"/>
          <w:szCs w:val="32"/>
          <w:lang w:val="en-US" w:eastAsia="zh-CN"/>
        </w:rPr>
        <w:t>部门</w:t>
      </w:r>
      <w:r>
        <w:rPr>
          <w:rFonts w:hint="eastAsia" w:ascii="CESI仿宋-GB2312" w:hAnsi="CESI仿宋-GB2312" w:eastAsia="CESI仿宋-GB2312" w:cs="CESI仿宋-GB2312"/>
          <w:color w:val="auto"/>
          <w:sz w:val="32"/>
          <w:szCs w:val="32"/>
          <w:lang w:val="en-US" w:eastAsia="zh-CN"/>
        </w:rPr>
        <w:t>单位、各政府采购代理机构：</w:t>
      </w:r>
    </w:p>
    <w:p w14:paraId="7D201156">
      <w:pPr>
        <w:keepNext w:val="0"/>
        <w:keepLines w:val="0"/>
        <w:pageBreakBefore w:val="0"/>
        <w:widowControl w:val="0"/>
        <w:kinsoku/>
        <w:wordWrap/>
        <w:overflowPunct/>
        <w:topLinePunct w:val="0"/>
        <w:autoSpaceDE/>
        <w:autoSpaceDN/>
        <w:adjustRightInd/>
        <w:snapToGrid/>
        <w:spacing w:line="600" w:lineRule="exact"/>
        <w:ind w:firstLine="640" w:firstLineChars="200"/>
        <w:jc w:val="left"/>
        <w:rPr>
          <w:rFonts w:hint="eastAsia" w:ascii="CESI仿宋-GB2312" w:hAnsi="CESI仿宋-GB2312" w:eastAsia="CESI仿宋-GB2312" w:cs="CESI仿宋-GB2312"/>
          <w:color w:val="auto"/>
          <w:sz w:val="32"/>
          <w:szCs w:val="32"/>
          <w:lang w:val="en-US" w:eastAsia="zh-CN"/>
        </w:rPr>
      </w:pPr>
      <w:r>
        <w:rPr>
          <w:rFonts w:ascii="CESI仿宋-GB2312" w:hAnsi="CESI仿宋-GB2312" w:eastAsia="CESI仿宋-GB2312" w:cs="CESI仿宋-GB2312"/>
          <w:color w:val="auto"/>
          <w:sz w:val="32"/>
          <w:szCs w:val="32"/>
          <w:lang w:val="en-US" w:eastAsia="zh-CN"/>
        </w:rPr>
        <w:t>为促进政府采购公平竞争，持续优化政府采购营商环境，推进优质优价采购，</w:t>
      </w:r>
      <w:r>
        <w:rPr>
          <w:rFonts w:hint="eastAsia" w:ascii="CESI仿宋-GB2312" w:hAnsi="CESI仿宋-GB2312" w:eastAsia="CESI仿宋-GB2312" w:cs="CESI仿宋-GB2312"/>
          <w:color w:val="auto"/>
          <w:sz w:val="32"/>
          <w:szCs w:val="32"/>
          <w:lang w:val="en-US" w:eastAsia="zh-CN"/>
        </w:rPr>
        <w:t>决定</w:t>
      </w:r>
      <w:r>
        <w:rPr>
          <w:rFonts w:ascii="CESI仿宋-GB2312" w:hAnsi="CESI仿宋-GB2312" w:eastAsia="CESI仿宋-GB2312" w:cs="CESI仿宋-GB2312"/>
          <w:color w:val="auto"/>
          <w:sz w:val="32"/>
          <w:szCs w:val="32"/>
          <w:lang w:val="en-US" w:eastAsia="zh-CN"/>
        </w:rPr>
        <w:t>在市级相关采购项目开展</w:t>
      </w:r>
      <w:r>
        <w:rPr>
          <w:rFonts w:ascii="CESI仿宋-GB2312" w:hAnsi="方正小标宋简体" w:eastAsia="CESI仿宋-GB2312" w:cs="CESI仿宋-GB2312"/>
          <w:color w:val="auto"/>
          <w:sz w:val="32"/>
          <w:szCs w:val="32"/>
          <w:lang w:val="en-US" w:eastAsia="zh-CN" w:bidi="ar-SA"/>
        </w:rPr>
        <w:t>推动解决政府采购</w:t>
      </w:r>
      <w:r>
        <w:rPr>
          <w:rFonts w:hint="eastAsia" w:ascii="CESI仿宋-GB2312" w:hAnsi="方正小标宋简体" w:eastAsia="CESI仿宋-GB2312" w:cs="CESI仿宋-GB2312"/>
          <w:color w:val="auto"/>
          <w:sz w:val="32"/>
          <w:szCs w:val="32"/>
          <w:lang w:val="en-US" w:eastAsia="zh-CN" w:bidi="ar-SA"/>
        </w:rPr>
        <w:t>异常低价</w:t>
      </w:r>
      <w:r>
        <w:rPr>
          <w:rFonts w:ascii="CESI仿宋-GB2312" w:hAnsi="方正小标宋简体" w:eastAsia="CESI仿宋-GB2312" w:cs="CESI仿宋-GB2312"/>
          <w:color w:val="auto"/>
          <w:sz w:val="32"/>
          <w:szCs w:val="32"/>
          <w:lang w:val="en-US" w:eastAsia="zh-CN" w:bidi="ar-SA"/>
        </w:rPr>
        <w:t>问题试点</w:t>
      </w:r>
      <w:r>
        <w:rPr>
          <w:rFonts w:hint="eastAsia" w:ascii="CESI仿宋-GB2312" w:hAnsi="方正小标宋简体" w:eastAsia="CESI仿宋-GB2312" w:cs="CESI仿宋-GB2312"/>
          <w:color w:val="auto"/>
          <w:sz w:val="32"/>
          <w:szCs w:val="32"/>
          <w:lang w:val="en-US" w:eastAsia="zh-CN" w:bidi="ar-SA"/>
        </w:rPr>
        <w:t>工作</w:t>
      </w:r>
      <w:r>
        <w:rPr>
          <w:rFonts w:hint="eastAsia" w:ascii="CESI仿宋-GB2312" w:hAnsi="CESI仿宋-GB2312" w:eastAsia="CESI仿宋-GB2312" w:cs="CESI仿宋-GB2312"/>
          <w:color w:val="auto"/>
          <w:sz w:val="32"/>
          <w:szCs w:val="32"/>
          <w:lang w:val="en-US" w:eastAsia="zh-CN"/>
        </w:rPr>
        <w:t>，现</w:t>
      </w:r>
      <w:r>
        <w:rPr>
          <w:rFonts w:ascii="CESI仿宋-GB2312" w:hAnsi="CESI仿宋-GB2312" w:eastAsia="CESI仿宋-GB2312" w:cs="CESI仿宋-GB2312"/>
          <w:color w:val="auto"/>
          <w:sz w:val="32"/>
          <w:szCs w:val="32"/>
          <w:lang w:val="en-US" w:eastAsia="zh-CN"/>
        </w:rPr>
        <w:t>将有关事项</w:t>
      </w:r>
      <w:r>
        <w:rPr>
          <w:rFonts w:hint="eastAsia" w:ascii="CESI仿宋-GB2312" w:hAnsi="CESI仿宋-GB2312" w:eastAsia="CESI仿宋-GB2312" w:cs="CESI仿宋-GB2312"/>
          <w:color w:val="auto"/>
          <w:sz w:val="32"/>
          <w:szCs w:val="32"/>
          <w:lang w:val="en-US" w:eastAsia="zh-CN"/>
        </w:rPr>
        <w:t>通知如下：</w:t>
      </w:r>
    </w:p>
    <w:p w14:paraId="34E1F20F">
      <w:pPr>
        <w:keepNext w:val="0"/>
        <w:keepLines w:val="0"/>
        <w:pageBreakBefore w:val="0"/>
        <w:widowControl w:val="0"/>
        <w:kinsoku/>
        <w:wordWrap/>
        <w:overflowPunct/>
        <w:topLinePunct w:val="0"/>
        <w:autoSpaceDE/>
        <w:autoSpaceDN/>
        <w:adjustRightInd/>
        <w:spacing w:line="600" w:lineRule="exact"/>
        <w:ind w:firstLine="640" w:firstLineChars="200"/>
        <w:jc w:val="left"/>
        <w:outlineLvl w:val="0"/>
        <w:rPr>
          <w:rFonts w:ascii="黑体" w:hAnsi="黑体" w:eastAsia="黑体" w:cs="黑体"/>
          <w:color w:val="auto"/>
          <w:sz w:val="32"/>
          <w:szCs w:val="32"/>
          <w:highlight w:val="yellow"/>
          <w:lang w:val="en-US" w:eastAsia="zh-CN"/>
        </w:rPr>
      </w:pPr>
      <w:r>
        <w:rPr>
          <w:rFonts w:ascii="黑体" w:hAnsi="黑体" w:eastAsia="黑体" w:cs="黑体"/>
          <w:color w:val="auto"/>
          <w:sz w:val="32"/>
          <w:szCs w:val="32"/>
          <w:lang w:val="en-US" w:eastAsia="zh-CN"/>
        </w:rPr>
        <w:t>一</w:t>
      </w:r>
      <w:r>
        <w:rPr>
          <w:rFonts w:hint="eastAsia" w:ascii="黑体" w:hAnsi="黑体" w:eastAsia="黑体" w:cs="黑体"/>
          <w:color w:val="auto"/>
          <w:sz w:val="32"/>
          <w:szCs w:val="32"/>
          <w:lang w:val="en-US" w:eastAsia="zh-CN"/>
        </w:rPr>
        <w:t>、试点范围</w:t>
      </w:r>
    </w:p>
    <w:p w14:paraId="18A66E7B">
      <w:pPr>
        <w:keepNext w:val="0"/>
        <w:keepLines w:val="0"/>
        <w:pageBreakBefore w:val="0"/>
        <w:widowControl w:val="0"/>
        <w:kinsoku/>
        <w:wordWrap/>
        <w:overflowPunct/>
        <w:topLinePunct w:val="0"/>
        <w:autoSpaceDE/>
        <w:autoSpaceDN/>
        <w:bidi w:val="0"/>
        <w:adjustRightInd/>
        <w:spacing w:line="240" w:lineRule="auto"/>
        <w:ind w:left="0" w:firstLine="640" w:firstLineChars="200"/>
        <w:jc w:val="left"/>
        <w:textAlignment w:val="auto"/>
        <w:rPr>
          <w:rFonts w:hint="eastAsia" w:ascii="楷体" w:hAnsi="楷体" w:eastAsia="楷体" w:cs="楷体"/>
          <w:color w:val="auto"/>
          <w:kern w:val="2"/>
          <w:sz w:val="32"/>
          <w:szCs w:val="32"/>
          <w:lang w:val="en-US" w:eastAsia="zh" w:bidi="ar-SA"/>
        </w:rPr>
      </w:pPr>
      <w:r>
        <w:rPr>
          <w:rFonts w:hint="eastAsia" w:ascii="楷体" w:hAnsi="楷体" w:eastAsia="楷体" w:cs="楷体"/>
          <w:color w:val="auto"/>
          <w:kern w:val="2"/>
          <w:sz w:val="32"/>
          <w:szCs w:val="32"/>
          <w:lang w:val="en-US" w:eastAsia="zh-CN" w:bidi="ar-SA"/>
        </w:rPr>
        <w:t>（一）试点</w:t>
      </w:r>
      <w:r>
        <w:rPr>
          <w:rFonts w:hint="eastAsia" w:ascii="楷体" w:hAnsi="楷体" w:eastAsia="楷体" w:cs="楷体"/>
          <w:color w:val="auto"/>
          <w:kern w:val="2"/>
          <w:sz w:val="32"/>
          <w:szCs w:val="32"/>
          <w:lang w:val="en-US" w:eastAsia="zh" w:bidi="ar-SA"/>
        </w:rPr>
        <w:t>时间</w:t>
      </w:r>
    </w:p>
    <w:p w14:paraId="00DB6DB8">
      <w:pPr>
        <w:pStyle w:val="5"/>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textAlignment w:val="auto"/>
        <w:rPr>
          <w:rFonts w:hint="eastAsia" w:ascii="CESI仿宋-GB2312" w:hAnsi="CESI仿宋-GB2312" w:eastAsia="CESI仿宋-GB2312" w:cs="CESI仿宋-GB2312"/>
          <w:color w:val="auto"/>
          <w:kern w:val="2"/>
          <w:sz w:val="32"/>
          <w:szCs w:val="32"/>
          <w:lang w:val="en-US" w:eastAsia="zh" w:bidi="ar-SA"/>
        </w:rPr>
      </w:pPr>
      <w:r>
        <w:rPr>
          <w:rFonts w:ascii="CESI仿宋-GB2312" w:hAnsi="CESI仿宋-GB2312" w:eastAsia="CESI仿宋-GB2312" w:cs="CESI仿宋-GB2312"/>
          <w:color w:val="auto"/>
          <w:kern w:val="2"/>
          <w:sz w:val="32"/>
          <w:szCs w:val="32"/>
          <w:lang w:val="en-US" w:eastAsia="zh-CN" w:bidi="ar-SA"/>
        </w:rPr>
        <w:t>自2025年7月1日起</w:t>
      </w:r>
      <w:r>
        <w:rPr>
          <w:rFonts w:hint="eastAsia" w:ascii="CESI仿宋-GB2312" w:hAnsi="CESI仿宋-GB2312" w:eastAsia="CESI仿宋-GB2312" w:cs="CESI仿宋-GB2312"/>
          <w:color w:val="auto"/>
          <w:kern w:val="2"/>
          <w:sz w:val="32"/>
          <w:szCs w:val="32"/>
          <w:lang w:val="en-US" w:eastAsia="zh" w:bidi="ar-SA"/>
        </w:rPr>
        <w:t>。</w:t>
      </w:r>
    </w:p>
    <w:p w14:paraId="009F6FF7">
      <w:pPr>
        <w:keepNext w:val="0"/>
        <w:keepLines w:val="0"/>
        <w:pageBreakBefore w:val="0"/>
        <w:widowControl w:val="0"/>
        <w:kinsoku/>
        <w:wordWrap/>
        <w:overflowPunct/>
        <w:topLinePunct w:val="0"/>
        <w:autoSpaceDE/>
        <w:autoSpaceDN/>
        <w:bidi w:val="0"/>
        <w:adjustRightInd/>
        <w:spacing w:line="240" w:lineRule="auto"/>
        <w:ind w:left="0" w:firstLine="640" w:firstLineChars="200"/>
        <w:jc w:val="left"/>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 w:bidi="ar-SA"/>
        </w:rPr>
        <w:t>二</w:t>
      </w:r>
      <w:r>
        <w:rPr>
          <w:rFonts w:hint="eastAsia" w:ascii="楷体" w:hAnsi="楷体" w:eastAsia="楷体" w:cs="楷体"/>
          <w:color w:val="auto"/>
          <w:kern w:val="2"/>
          <w:sz w:val="32"/>
          <w:szCs w:val="32"/>
          <w:lang w:val="en-US" w:eastAsia="zh-CN" w:bidi="ar-SA"/>
        </w:rPr>
        <w:t>）试点品目</w:t>
      </w:r>
    </w:p>
    <w:p w14:paraId="562BF1F7">
      <w:pPr>
        <w:keepNext w:val="0"/>
        <w:keepLines w:val="0"/>
        <w:pageBreakBefore w:val="0"/>
        <w:widowControl w:val="0"/>
        <w:kinsoku/>
        <w:wordWrap/>
        <w:overflowPunct/>
        <w:topLinePunct w:val="0"/>
        <w:autoSpaceDE/>
        <w:autoSpaceDN/>
        <w:bidi w:val="0"/>
        <w:adjustRightInd/>
        <w:spacing w:line="600" w:lineRule="exact"/>
        <w:ind w:left="0" w:firstLine="640" w:firstLineChars="200"/>
        <w:jc w:val="left"/>
        <w:textAlignment w:val="auto"/>
        <w:rPr>
          <w:rFonts w:hint="eastAsia" w:ascii="CESI仿宋-GB2312" w:hAnsi="CESI仿宋-GB2312" w:eastAsia="CESI仿宋-GB2312" w:cs="CESI仿宋-GB2312"/>
          <w:color w:val="auto"/>
          <w:kern w:val="2"/>
          <w:sz w:val="32"/>
          <w:szCs w:val="32"/>
          <w:lang w:val="en-US" w:eastAsia="zh-CN" w:bidi="ar-SA"/>
        </w:rPr>
      </w:pPr>
      <w:r>
        <w:rPr>
          <w:rFonts w:ascii="CESI仿宋-GB2312" w:hAnsi="CESI仿宋-GB2312" w:eastAsia="CESI仿宋-GB2312" w:cs="CESI仿宋-GB2312"/>
          <w:color w:val="auto"/>
          <w:kern w:val="2"/>
          <w:sz w:val="32"/>
          <w:szCs w:val="32"/>
          <w:lang w:val="en-US" w:eastAsia="zh-CN" w:bidi="ar-SA"/>
        </w:rPr>
        <w:t>市直各部门单位凡采购涉及</w:t>
      </w:r>
      <w:r>
        <w:rPr>
          <w:rFonts w:hint="eastAsia" w:ascii="CESI仿宋-GB2312" w:hAnsi="CESI仿宋-GB2312" w:eastAsia="CESI仿宋-GB2312" w:cs="CESI仿宋-GB2312"/>
          <w:color w:val="auto"/>
          <w:kern w:val="2"/>
          <w:sz w:val="32"/>
          <w:szCs w:val="32"/>
          <w:lang w:val="en-US" w:eastAsia="zh-CN" w:bidi="ar-SA"/>
        </w:rPr>
        <w:t>医疗设备（A02320000）、家具和用具（A05000000）、信息技术服务（C16000000）、审计服务（C23030000）</w:t>
      </w:r>
      <w:r>
        <w:rPr>
          <w:rFonts w:ascii="CESI仿宋-GB2312" w:hAnsi="CESI仿宋-GB2312" w:eastAsia="CESI仿宋-GB2312" w:cs="CESI仿宋-GB2312"/>
          <w:color w:val="auto"/>
          <w:kern w:val="2"/>
          <w:sz w:val="32"/>
          <w:szCs w:val="32"/>
          <w:lang w:val="en-US" w:eastAsia="zh-CN" w:bidi="ar-SA"/>
        </w:rPr>
        <w:t>品目（含下级品目），且达到集中采购项目限额标准或分散采购限额标准的（不包括执行市级集中采购目录及标准，采用框架协议、协议供货或定点采购项目）采购项目及项目包</w:t>
      </w:r>
      <w:r>
        <w:rPr>
          <w:rFonts w:hint="eastAsia" w:ascii="CESI仿宋-GB2312" w:hAnsi="CESI仿宋-GB2312" w:eastAsia="CESI仿宋-GB2312" w:cs="CESI仿宋-GB2312"/>
          <w:color w:val="auto"/>
          <w:kern w:val="2"/>
          <w:sz w:val="32"/>
          <w:szCs w:val="32"/>
          <w:lang w:val="en-US" w:eastAsia="zh" w:bidi="ar-SA"/>
        </w:rPr>
        <w:t>，</w:t>
      </w:r>
      <w:r>
        <w:rPr>
          <w:rFonts w:ascii="CESI仿宋-GB2312" w:hAnsi="CESI仿宋-GB2312" w:eastAsia="CESI仿宋-GB2312" w:cs="CESI仿宋-GB2312"/>
          <w:color w:val="auto"/>
          <w:kern w:val="2"/>
          <w:sz w:val="32"/>
          <w:szCs w:val="32"/>
          <w:lang w:val="en-US" w:eastAsia="zh-CN" w:bidi="ar-SA"/>
        </w:rPr>
        <w:t>应按照本通知要求，</w:t>
      </w:r>
      <w:r>
        <w:rPr>
          <w:rFonts w:hint="eastAsia" w:ascii="CESI仿宋-GB2312" w:hAnsi="CESI仿宋-GB2312" w:eastAsia="CESI仿宋-GB2312" w:cs="CESI仿宋-GB2312"/>
          <w:color w:val="auto"/>
          <w:kern w:val="2"/>
          <w:sz w:val="32"/>
          <w:szCs w:val="32"/>
          <w:lang w:val="en-US" w:eastAsia="zh" w:bidi="ar-SA"/>
        </w:rPr>
        <w:t>启</w:t>
      </w:r>
      <w:r>
        <w:rPr>
          <w:rFonts w:ascii="CESI仿宋-GB2312" w:hAnsi="CESI仿宋-GB2312" w:eastAsia="CESI仿宋-GB2312" w:cs="CESI仿宋-GB2312"/>
          <w:color w:val="auto"/>
          <w:kern w:val="2"/>
          <w:sz w:val="32"/>
          <w:szCs w:val="32"/>
          <w:lang w:val="en-US" w:eastAsia="zh-CN" w:bidi="ar-SA"/>
        </w:rPr>
        <w:t>动开展政府采购异常低价问题试点工作</w:t>
      </w:r>
      <w:r>
        <w:rPr>
          <w:rFonts w:hint="eastAsia" w:ascii="CESI仿宋-GB2312" w:hAnsi="CESI仿宋-GB2312" w:eastAsia="CESI仿宋-GB2312" w:cs="CESI仿宋-GB2312"/>
          <w:color w:val="auto"/>
          <w:kern w:val="2"/>
          <w:sz w:val="32"/>
          <w:szCs w:val="32"/>
          <w:lang w:val="en-US" w:eastAsia="zh-CN" w:bidi="ar-SA"/>
        </w:rPr>
        <w:t>。</w:t>
      </w:r>
    </w:p>
    <w:p w14:paraId="73CC62E5">
      <w:pPr>
        <w:ind w:firstLine="640" w:firstLineChars="200"/>
        <w:jc w:val="left"/>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w:t>
      </w:r>
      <w:r>
        <w:rPr>
          <w:rFonts w:hint="eastAsia" w:ascii="楷体" w:hAnsi="楷体" w:eastAsia="楷体" w:cs="楷体"/>
          <w:color w:val="auto"/>
          <w:kern w:val="2"/>
          <w:sz w:val="32"/>
          <w:szCs w:val="32"/>
          <w:lang w:val="en-US" w:eastAsia="zh" w:bidi="ar-SA"/>
        </w:rPr>
        <w:t>三</w:t>
      </w:r>
      <w:r>
        <w:rPr>
          <w:rFonts w:hint="eastAsia" w:ascii="楷体" w:hAnsi="楷体" w:eastAsia="楷体" w:cs="楷体"/>
          <w:color w:val="auto"/>
          <w:kern w:val="2"/>
          <w:sz w:val="32"/>
          <w:szCs w:val="32"/>
          <w:lang w:val="en-US" w:eastAsia="zh-CN" w:bidi="ar-SA"/>
        </w:rPr>
        <w:t>）判定标准</w:t>
      </w:r>
    </w:p>
    <w:p w14:paraId="2F77C7EF">
      <w:pPr>
        <w:keepNext w:val="0"/>
        <w:keepLines w:val="0"/>
        <w:pageBreakBefore w:val="0"/>
        <w:widowControl w:val="0"/>
        <w:kinsoku/>
        <w:wordWrap/>
        <w:overflowPunct/>
        <w:topLinePunct w:val="0"/>
        <w:autoSpaceDE/>
        <w:autoSpaceDN/>
        <w:bidi w:val="0"/>
        <w:adjustRightInd/>
        <w:spacing w:line="600" w:lineRule="exact"/>
        <w:ind w:left="0" w:firstLine="640" w:firstLineChars="200"/>
        <w:jc w:val="left"/>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政府采购评审中，供应商投标（响应）报价出现下列情形之一的，判定其报价为异常低价：（一）投标（响应）报价低于全部通过符合性审查供应商投标（响应）报价平均值50%；（二）投标（响应）报价低于通过符合性审查且报价次低供应商投标（响应）报价50%；（三）投标（响应）报价低于采购项目最高限价45%；（四）其他评审委员会认为可能影响产品质量或不能诚信履约的情形。</w:t>
      </w:r>
    </w:p>
    <w:p w14:paraId="2F65963A">
      <w:pPr>
        <w:keepNext w:val="0"/>
        <w:keepLines w:val="0"/>
        <w:pageBreakBefore w:val="0"/>
        <w:widowControl w:val="0"/>
        <w:kinsoku/>
        <w:wordWrap/>
        <w:overflowPunct/>
        <w:topLinePunct w:val="0"/>
        <w:autoSpaceDE/>
        <w:autoSpaceDN/>
        <w:bidi w:val="0"/>
        <w:adjustRightInd/>
        <w:spacing w:line="600" w:lineRule="exact"/>
        <w:ind w:left="0" w:firstLine="640" w:firstLineChars="200"/>
        <w:jc w:val="left"/>
        <w:textAlignment w:val="auto"/>
        <w:outlineLvl w:val="0"/>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二、试点内容</w:t>
      </w:r>
    </w:p>
    <w:p w14:paraId="0EA525B0">
      <w:pPr>
        <w:keepNext w:val="0"/>
        <w:keepLines w:val="0"/>
        <w:pageBreakBefore w:val="0"/>
        <w:widowControl w:val="0"/>
        <w:kinsoku/>
        <w:wordWrap/>
        <w:overflowPunct/>
        <w:topLinePunct w:val="0"/>
        <w:autoSpaceDE/>
        <w:autoSpaceDN/>
        <w:bidi w:val="0"/>
        <w:adjustRightInd/>
        <w:spacing w:line="240" w:lineRule="auto"/>
        <w:ind w:left="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kern w:val="2"/>
          <w:sz w:val="32"/>
          <w:szCs w:val="32"/>
          <w:lang w:val="en-US" w:eastAsia="zh-CN" w:bidi="ar-SA"/>
        </w:rPr>
        <w:t>（一）</w:t>
      </w:r>
      <w:r>
        <w:rPr>
          <w:rFonts w:hint="eastAsia" w:ascii="楷体" w:hAnsi="楷体" w:eastAsia="楷体" w:cs="楷体"/>
          <w:color w:val="auto"/>
          <w:sz w:val="32"/>
          <w:szCs w:val="32"/>
          <w:lang w:val="en-US" w:eastAsia="zh-CN"/>
        </w:rPr>
        <w:t>加强需求端管理</w:t>
      </w:r>
    </w:p>
    <w:p w14:paraId="5AEDE34D">
      <w:pPr>
        <w:keepNext w:val="0"/>
        <w:keepLines w:val="0"/>
        <w:pageBreakBefore w:val="0"/>
        <w:widowControl w:val="0"/>
        <w:kinsoku/>
        <w:wordWrap/>
        <w:overflowPunct/>
        <w:topLinePunct w:val="0"/>
        <w:autoSpaceDE/>
        <w:autoSpaceDN/>
        <w:bidi w:val="0"/>
        <w:adjustRightInd/>
        <w:spacing w:line="600" w:lineRule="exact"/>
        <w:ind w:left="0" w:firstLine="640" w:firstLineChars="200"/>
        <w:jc w:val="left"/>
        <w:textAlignment w:val="auto"/>
        <w:rPr>
          <w:rFonts w:hint="default"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采购人应严格按照《政府采购需求管理办法》要求编制采购需求，切实履行采购需求调查程序，了解相关产业发展、市场供给、同类采购项目历史成交等信息，形成科学、完整、清晰的采购需求，合理设定最高限价，鼓励采购人引入全生命周期成本。</w:t>
      </w:r>
    </w:p>
    <w:p w14:paraId="4B7A0132">
      <w:pPr>
        <w:spacing w:line="600" w:lineRule="exact"/>
        <w:ind w:firstLine="640" w:firstLineChars="20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2.采购人、采购代理机构在签订委托代理协议及制定采购文件时，应明确实施政府采购异常低价审查的有关内容及要求。</w:t>
      </w:r>
    </w:p>
    <w:p w14:paraId="5FC40B9E">
      <w:pPr>
        <w:keepNext w:val="0"/>
        <w:keepLines w:val="0"/>
        <w:pageBreakBefore w:val="0"/>
        <w:widowControl w:val="0"/>
        <w:kinsoku/>
        <w:wordWrap/>
        <w:overflowPunct/>
        <w:topLinePunct w:val="0"/>
        <w:autoSpaceDE/>
        <w:autoSpaceDN/>
        <w:bidi w:val="0"/>
        <w:adjustRightInd/>
        <w:spacing w:line="240" w:lineRule="auto"/>
        <w:ind w:left="0"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（二）严格执行价格审查机制</w:t>
      </w:r>
    </w:p>
    <w:p w14:paraId="07E7C168">
      <w:pPr>
        <w:keepNext w:val="0"/>
        <w:keepLines w:val="0"/>
        <w:pageBreakBefore w:val="0"/>
        <w:widowControl/>
        <w:kinsoku/>
        <w:wordWrap/>
        <w:overflowPunct/>
        <w:topLinePunct w:val="0"/>
        <w:autoSpaceDE/>
        <w:autoSpaceDN/>
        <w:bidi w:val="0"/>
        <w:adjustRightInd/>
        <w:spacing w:line="600" w:lineRule="exact"/>
        <w:ind w:left="0" w:firstLine="640" w:firstLineChars="200"/>
        <w:jc w:val="left"/>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评审委员会应切实按照异常低价审查启动标准及审查流程开展相关工作。启动异常低价投标（响应）审查后，应要求相关供应商在评审现场合理的时间内提供书面说明及必要的证明材料，对投标（响应）价格作出解释。合理时间至少为30分钟，最长限定时间由评审委员会视评审进度决定。供应商说明材料应至少包括价格构成、成本测算依据、报价合理性说明等。</w:t>
      </w:r>
    </w:p>
    <w:p w14:paraId="3467BF01">
      <w:pPr>
        <w:keepNext w:val="0"/>
        <w:keepLines w:val="0"/>
        <w:pageBreakBefore w:val="0"/>
        <w:widowControl/>
        <w:kinsoku/>
        <w:wordWrap/>
        <w:overflowPunct/>
        <w:topLinePunct w:val="0"/>
        <w:autoSpaceDE/>
        <w:autoSpaceDN/>
        <w:bidi w:val="0"/>
        <w:adjustRightInd/>
        <w:spacing w:line="600" w:lineRule="exact"/>
        <w:ind w:left="0" w:firstLine="640" w:firstLineChars="200"/>
        <w:jc w:val="left"/>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评审委员会应切实履职尽责，应当结合同类产品在主要电商平台的价格、该行业当地薪资水平等情况，依据专业经验对报价合理性进行判断。如果投标（响应）供应商不提供书面说明、证明材料，或者提供的材料不能证明其报价合理性的，应当将其作为无效投标（响应）处理，审查相关情况应当在评审报告中记录。审查过程材料及相关证据应当与其他采购文件一并保存。</w:t>
      </w:r>
    </w:p>
    <w:p w14:paraId="519A2CD7">
      <w:pPr>
        <w:keepNext w:val="0"/>
        <w:keepLines w:val="0"/>
        <w:pageBreakBefore w:val="0"/>
        <w:widowControl w:val="0"/>
        <w:kinsoku/>
        <w:wordWrap/>
        <w:overflowPunct/>
        <w:topLinePunct w:val="0"/>
        <w:autoSpaceDE/>
        <w:autoSpaceDN/>
        <w:bidi w:val="0"/>
        <w:adjustRightInd/>
        <w:spacing w:line="240" w:lineRule="auto"/>
        <w:ind w:left="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rPr>
        <w:t>强化</w:t>
      </w:r>
      <w:r>
        <w:rPr>
          <w:rFonts w:hint="eastAsia" w:ascii="楷体" w:hAnsi="楷体" w:eastAsia="楷体" w:cs="楷体"/>
          <w:color w:val="auto"/>
          <w:sz w:val="32"/>
          <w:szCs w:val="32"/>
          <w:lang w:eastAsia="zh-CN"/>
        </w:rPr>
        <w:t>过程监督和履约验收</w:t>
      </w:r>
    </w:p>
    <w:p w14:paraId="3D849DC5">
      <w:pPr>
        <w:keepNext w:val="0"/>
        <w:keepLines w:val="0"/>
        <w:pageBreakBefore w:val="0"/>
        <w:widowControl/>
        <w:kinsoku/>
        <w:wordWrap/>
        <w:overflowPunct/>
        <w:topLinePunct w:val="0"/>
        <w:autoSpaceDE/>
        <w:autoSpaceDN/>
        <w:bidi w:val="0"/>
        <w:adjustRightInd/>
        <w:spacing w:line="600" w:lineRule="exact"/>
        <w:ind w:left="0" w:firstLine="640" w:firstLineChars="200"/>
        <w:jc w:val="left"/>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出现异常低价情形，评审委员会未启动异常低价审查的，采购人或其委托的采购代理机构应当提醒评审委员会进行审查。评审委员会未按规定就异常低价情形作出处理的，采购人或其委托的采购代理机构应当及时书面报告市财政局，由市财政局依法依规处理。</w:t>
      </w:r>
    </w:p>
    <w:p w14:paraId="06134D1A">
      <w:pPr>
        <w:keepNext w:val="0"/>
        <w:keepLines w:val="0"/>
        <w:pageBreakBefore w:val="0"/>
        <w:widowControl/>
        <w:kinsoku/>
        <w:wordWrap/>
        <w:overflowPunct/>
        <w:topLinePunct w:val="0"/>
        <w:autoSpaceDE/>
        <w:autoSpaceDN/>
        <w:bidi w:val="0"/>
        <w:adjustRightInd/>
        <w:spacing w:line="600" w:lineRule="exact"/>
        <w:ind w:left="0" w:firstLine="640" w:firstLineChars="200"/>
        <w:jc w:val="left"/>
        <w:textAlignment w:val="auto"/>
        <w:rPr>
          <w:rFonts w:hint="default" w:ascii="楷体" w:hAnsi="楷体" w:eastAsia="楷体" w:cs="楷体"/>
          <w:color w:val="auto"/>
          <w:sz w:val="32"/>
          <w:szCs w:val="32"/>
          <w:lang w:val="en-US" w:eastAsia="zh-CN"/>
        </w:rPr>
      </w:pPr>
      <w:r>
        <w:rPr>
          <w:rFonts w:hint="eastAsia" w:ascii="CESI仿宋-GB2312" w:hAnsi="CESI仿宋-GB2312" w:eastAsia="CESI仿宋-GB2312" w:cs="CESI仿宋-GB2312"/>
          <w:color w:val="auto"/>
          <w:sz w:val="32"/>
          <w:szCs w:val="32"/>
          <w:lang w:val="en-US" w:eastAsia="zh-CN"/>
        </w:rPr>
        <w:t>2.对于符合异常低价情形但通过评审委员会审查的中标供</w:t>
      </w:r>
      <w:r>
        <w:rPr>
          <w:rFonts w:hint="eastAsia" w:ascii="CESI仿宋-GB2312" w:hAnsi="CESI仿宋-GB2312" w:eastAsia="CESI仿宋-GB2312" w:cs="CESI仿宋-GB2312"/>
          <w:color w:val="auto"/>
          <w:kern w:val="2"/>
          <w:sz w:val="32"/>
          <w:szCs w:val="32"/>
          <w:lang w:val="en-US" w:eastAsia="zh-CN" w:bidi="ar-SA"/>
        </w:rPr>
        <w:t>应商，采购人可按照政府采购合同金额的收取一定比例履约保证金。采购人应加强对相关项目履约情况的跟踪，严格执行履约验收程序。对无正当理由不签订合同或者由于自身原因未按合同履约的供应商，依法依规追究责任，列入不良行为记录名单。</w:t>
      </w:r>
    </w:p>
    <w:p w14:paraId="4F7C990E">
      <w:pPr>
        <w:pStyle w:val="5"/>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textAlignment w:val="auto"/>
        <w:outlineLvl w:val="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三、工作要求</w:t>
      </w:r>
    </w:p>
    <w:p w14:paraId="28A32988">
      <w:pPr>
        <w:pStyle w:val="5"/>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采购人要充分认识解决政府采购异常低价问题的重要意义，落实主体责任，科学确定政府采购需求，组织开展政府采购异常低价审查，强化履约验收管理</w:t>
      </w:r>
      <w:r>
        <w:rPr>
          <w:rFonts w:hint="eastAsia" w:ascii="仿宋_GB2312" w:hAnsi="仿宋_GB2312" w:eastAsia="仿宋_GB2312" w:cs="仿宋_GB2312"/>
          <w:color w:val="auto"/>
          <w:sz w:val="32"/>
          <w:szCs w:val="32"/>
          <w:lang w:val="en-US" w:eastAsia="zh-CN"/>
        </w:rPr>
        <w:t>，确保各项要求落实到位</w:t>
      </w:r>
      <w:r>
        <w:rPr>
          <w:rFonts w:hint="eastAsia" w:ascii="CESI仿宋-GB2312" w:hAnsi="CESI仿宋-GB2312" w:eastAsia="CESI仿宋-GB2312" w:cs="CESI仿宋-GB2312"/>
          <w:color w:val="auto"/>
          <w:kern w:val="2"/>
          <w:sz w:val="32"/>
          <w:szCs w:val="32"/>
          <w:lang w:val="en-US" w:eastAsia="zh-CN" w:bidi="ar-SA"/>
        </w:rPr>
        <w:t>。各主管部门应加强对所属单位的督促和指导，试点过程中如遇问题，请及时向市财政局报告。</w:t>
      </w:r>
    </w:p>
    <w:p w14:paraId="5D0AE30E">
      <w:pPr>
        <w:pStyle w:val="5"/>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各区财政局可结合实际情况，参照本通知自行开展试点工作。</w:t>
      </w:r>
    </w:p>
    <w:p w14:paraId="00DA9337">
      <w:pPr>
        <w:pStyle w:val="5"/>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textAlignment w:val="auto"/>
        <w:rPr>
          <w:rFonts w:hint="eastAsia" w:ascii="CESI仿宋-GB2312" w:hAnsi="CESI仿宋-GB2312" w:eastAsia="CESI仿宋-GB2312" w:cs="CESI仿宋-GB2312"/>
          <w:color w:val="auto"/>
          <w:kern w:val="2"/>
          <w:sz w:val="32"/>
          <w:szCs w:val="32"/>
          <w:lang w:val="en-US" w:eastAsia="zh-CN" w:bidi="ar-SA"/>
        </w:rPr>
      </w:pPr>
    </w:p>
    <w:p w14:paraId="63490DA6">
      <w:pPr>
        <w:pStyle w:val="5"/>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textAlignment w:val="auto"/>
        <w:rPr>
          <w:rFonts w:hint="default" w:ascii="CESI仿宋-GB2312" w:hAnsi="CESI仿宋-GB2312" w:eastAsia="CESI仿宋-GB2312" w:cs="CESI仿宋-GB2312"/>
          <w:color w:val="auto"/>
          <w:kern w:val="2"/>
          <w:sz w:val="32"/>
          <w:szCs w:val="32"/>
          <w:lang w:val="en-US" w:eastAsia="zh-CN" w:bidi="ar-SA"/>
        </w:rPr>
      </w:pPr>
    </w:p>
    <w:p w14:paraId="12265E96">
      <w:pPr>
        <w:ind w:firstLine="640" w:firstLineChars="200"/>
        <w:jc w:val="center"/>
        <w:outlineLvl w:val="0"/>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 xml:space="preserve">                         武汉市财政局</w:t>
      </w:r>
    </w:p>
    <w:p w14:paraId="379962E9">
      <w:pPr>
        <w:ind w:firstLine="640" w:firstLineChars="200"/>
        <w:jc w:val="center"/>
        <w:outlineLvl w:val="0"/>
        <w:rPr>
          <w:color w:val="auto"/>
        </w:rPr>
      </w:pP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color w:val="auto"/>
          <w:sz w:val="32"/>
          <w:szCs w:val="32"/>
          <w:highlight w:val="none"/>
          <w:lang w:val="en-US" w:eastAsia="zh-CN"/>
        </w:rPr>
        <w:t>2025年6月9日</w:t>
      </w:r>
    </w:p>
    <w:p w14:paraId="0EB51C60">
      <w:pPr>
        <w:jc w:val="both"/>
        <w:rPr>
          <w:color w:val="auto"/>
        </w:rPr>
      </w:pPr>
    </w:p>
    <w:p w14:paraId="55863EC9">
      <w:pPr>
        <w:ind w:left="638" w:leftChars="304"/>
        <w:jc w:val="left"/>
        <w:rPr>
          <w:rFonts w:ascii="CESI仿宋-GB2312" w:hAnsi="CESI仿宋-GB2312" w:eastAsia="CESI仿宋-GB2312" w:cs="CESI仿宋-GB2312"/>
          <w:color w:val="auto"/>
          <w:sz w:val="32"/>
          <w:szCs w:val="32"/>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zA5MGJiNzEwYWZiNDY5ODM2OTcwY2MzODcyYWJhMDkifQ=="/>
    <w:docVar w:name="KSO_WPS_MARK_KEY" w:val="4612c9d5-fb09-4be7-9e0d-4d5c3cfd0509"/>
  </w:docVars>
  <w:rsids>
    <w:rsidRoot w:val="00000000"/>
    <w:rsid w:val="0FAE4E7B"/>
    <w:rsid w:val="1BDDE914"/>
    <w:rsid w:val="2EEB69C4"/>
    <w:rsid w:val="31FF330A"/>
    <w:rsid w:val="376B93EA"/>
    <w:rsid w:val="37EFD14B"/>
    <w:rsid w:val="3B773D72"/>
    <w:rsid w:val="3C76B6BA"/>
    <w:rsid w:val="3CF9761D"/>
    <w:rsid w:val="3D55AD8D"/>
    <w:rsid w:val="3FAB9F66"/>
    <w:rsid w:val="3FCE29D6"/>
    <w:rsid w:val="3FDDC625"/>
    <w:rsid w:val="49584053"/>
    <w:rsid w:val="4BFB44E4"/>
    <w:rsid w:val="4FFBF5CF"/>
    <w:rsid w:val="53CE1D61"/>
    <w:rsid w:val="597D8538"/>
    <w:rsid w:val="5EB9047E"/>
    <w:rsid w:val="5FAFD379"/>
    <w:rsid w:val="6BB20F26"/>
    <w:rsid w:val="6D4E569D"/>
    <w:rsid w:val="72DF93ED"/>
    <w:rsid w:val="74E7523A"/>
    <w:rsid w:val="75F00216"/>
    <w:rsid w:val="7767259F"/>
    <w:rsid w:val="777B27B0"/>
    <w:rsid w:val="77D4B1F4"/>
    <w:rsid w:val="79BEE5F6"/>
    <w:rsid w:val="79DF6DB7"/>
    <w:rsid w:val="7A7FFB01"/>
    <w:rsid w:val="7B6D6CB7"/>
    <w:rsid w:val="7BDB4D8E"/>
    <w:rsid w:val="7DDD13EA"/>
    <w:rsid w:val="7DDF3B20"/>
    <w:rsid w:val="7DF620E7"/>
    <w:rsid w:val="7EDED7B7"/>
    <w:rsid w:val="7EF27A3B"/>
    <w:rsid w:val="7F771D79"/>
    <w:rsid w:val="7FDFBED2"/>
    <w:rsid w:val="9F2DDAFF"/>
    <w:rsid w:val="ABEFC057"/>
    <w:rsid w:val="AE4D5C53"/>
    <w:rsid w:val="AFFFAC68"/>
    <w:rsid w:val="B66A01D8"/>
    <w:rsid w:val="B97CC3AE"/>
    <w:rsid w:val="BBBFB973"/>
    <w:rsid w:val="BEFA1974"/>
    <w:rsid w:val="BFF93AC0"/>
    <w:rsid w:val="D73AE2E4"/>
    <w:rsid w:val="D7741E48"/>
    <w:rsid w:val="D7DBBAA0"/>
    <w:rsid w:val="DB7B59DC"/>
    <w:rsid w:val="DEBFFF81"/>
    <w:rsid w:val="DF93169C"/>
    <w:rsid w:val="DFDF434D"/>
    <w:rsid w:val="E7F457E6"/>
    <w:rsid w:val="E7FE181F"/>
    <w:rsid w:val="EFFF7642"/>
    <w:rsid w:val="F5FE9D91"/>
    <w:rsid w:val="F7DFD850"/>
    <w:rsid w:val="F7F7A96F"/>
    <w:rsid w:val="FAFE9C00"/>
    <w:rsid w:val="FB5FF1F1"/>
    <w:rsid w:val="FBFFE185"/>
    <w:rsid w:val="FD6F9C0F"/>
    <w:rsid w:val="FD9F0CFB"/>
    <w:rsid w:val="FEDBF273"/>
    <w:rsid w:val="FEFE0BD9"/>
    <w:rsid w:val="FF09B14D"/>
    <w:rsid w:val="FF7F68E9"/>
    <w:rsid w:val="FFEF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link w:val="1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2"/>
    <w:qFormat/>
    <w:uiPriority w:val="0"/>
    <w:pPr>
      <w:keepNext/>
      <w:keepLines/>
      <w:spacing w:before="260" w:after="260" w:line="415" w:lineRule="auto"/>
      <w:outlineLvl w:val="1"/>
    </w:pPr>
    <w:rPr>
      <w:rFonts w:ascii="Times New Roman" w:hAnsi="Times New Roman" w:eastAsia="黑体"/>
      <w:b/>
      <w:bCs/>
      <w:sz w:val="32"/>
      <w:szCs w:val="32"/>
    </w:rPr>
  </w:style>
  <w:style w:type="paragraph" w:styleId="2">
    <w:name w:val="heading 3"/>
    <w:basedOn w:val="1"/>
    <w:next w:val="1"/>
    <w:link w:val="13"/>
    <w:qFormat/>
    <w:uiPriority w:val="0"/>
    <w:pPr>
      <w:spacing w:before="0" w:beforeAutospacing="1" w:after="0" w:afterAutospacing="1"/>
      <w:jc w:val="left"/>
      <w:outlineLvl w:val="2"/>
    </w:pPr>
    <w:rPr>
      <w:rFonts w:ascii="宋体" w:hAnsi="宋体" w:eastAsia="宋体" w:cs="宋体"/>
      <w:b/>
      <w:bCs/>
      <w:kern w:val="0"/>
      <w:sz w:val="27"/>
      <w:szCs w:val="27"/>
      <w:lang w:val="en-US" w:eastAsia="zh-CN"/>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纯文本1"/>
    <w:basedOn w:val="1"/>
    <w:qFormat/>
    <w:uiPriority w:val="0"/>
    <w:rPr>
      <w:rFonts w:ascii="宋体" w:hAnsi="Courier New" w:cs="Courier New"/>
      <w:szCs w:val="21"/>
    </w:rPr>
  </w:style>
  <w:style w:type="character" w:customStyle="1" w:styleId="11">
    <w:name w:val="heading 1 Char"/>
    <w:basedOn w:val="8"/>
    <w:link w:val="3"/>
    <w:qFormat/>
    <w:uiPriority w:val="0"/>
    <w:rPr>
      <w:rFonts w:ascii="Calibri" w:hAnsi="Calibri" w:eastAsia="宋体" w:cs="Arial"/>
      <w:b/>
      <w:bCs/>
      <w:kern w:val="44"/>
      <w:sz w:val="44"/>
      <w:szCs w:val="44"/>
      <w:lang w:val="en-US" w:eastAsia="zh-CN" w:bidi="ar-SA"/>
    </w:rPr>
  </w:style>
  <w:style w:type="character" w:customStyle="1" w:styleId="12">
    <w:name w:val="heading 2 Char"/>
    <w:basedOn w:val="8"/>
    <w:link w:val="4"/>
    <w:qFormat/>
    <w:uiPriority w:val="0"/>
    <w:rPr>
      <w:rFonts w:ascii="Times New Roman" w:hAnsi="Times New Roman" w:eastAsia="黑体" w:cs="Arial"/>
      <w:b/>
      <w:bCs/>
      <w:kern w:val="2"/>
      <w:sz w:val="32"/>
      <w:szCs w:val="32"/>
      <w:lang w:val="en-US" w:eastAsia="zh-CN" w:bidi="ar-SA"/>
    </w:rPr>
  </w:style>
  <w:style w:type="character" w:customStyle="1" w:styleId="13">
    <w:name w:val="heading 3 Char"/>
    <w:basedOn w:val="8"/>
    <w:link w:val="2"/>
    <w:qFormat/>
    <w:uiPriority w:val="0"/>
    <w:rPr>
      <w:rFonts w:ascii="宋体" w:hAnsi="宋体" w:eastAsia="宋体" w:cs="宋体"/>
      <w:b/>
      <w:bCs/>
      <w:kern w:val="0"/>
      <w:sz w:val="27"/>
      <w:szCs w:val="27"/>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Pages>
  <Words>1284</Words>
  <Characters>1333</Characters>
  <Lines>0</Lines>
  <Paragraphs>40</Paragraphs>
  <TotalTime>0</TotalTime>
  <ScaleCrop>false</ScaleCrop>
  <LinksUpToDate>false</LinksUpToDate>
  <CharactersWithSpaces>1383</CharactersWithSpaces>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2025-04-25T23:50:00Z</dcterms:created>
  <dc:creator>Administrator</dc:creator>
  <cp:lastModifiedBy>czj</cp:lastModifiedBy>
  <cp:lastPrinted>2025-06-10T02:53:00Z</cp:lastPrinted>
  <dcterms:modified xsi:type="dcterms:W3CDTF">2025-06-11T16:19:30Z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eyJoZGlkIjoiOGE4OTc2ZjljMGYwNmM1MjdjZWM1MThiMWZiZTg1ZGIiLCJ1c2VySWQiOiI3NTAzNTYyNTYifQ==</vt:lpwstr>
  </property>
  <property fmtid="{D5CDD505-2E9C-101B-9397-08002B2CF9AE}" pid="4" name="ICV">
    <vt:lpwstr>328125401725472AA93B729D2A3D9DD1_12</vt:lpwstr>
  </property>
</Properties>
</file>